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53C5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C232B5E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7AEA79F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1DB13786" w14:textId="25214631" w:rsidR="00013773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FA5BBA">
        <w:rPr>
          <w:rFonts w:ascii="Tahoma" w:hAnsi="Tahoma" w:cs="Tahoma"/>
          <w:b/>
          <w:bCs/>
          <w:sz w:val="27"/>
          <w:szCs w:val="27"/>
          <w:lang w:eastAsia="en-GB"/>
        </w:rPr>
        <w:t xml:space="preserve">Trustee Lead </w:t>
      </w:r>
      <w:r w:rsidR="00C834AA">
        <w:rPr>
          <w:rFonts w:ascii="Tahoma" w:hAnsi="Tahoma" w:cs="Tahoma"/>
          <w:b/>
          <w:bCs/>
          <w:sz w:val="27"/>
          <w:szCs w:val="27"/>
          <w:lang w:eastAsia="en-GB"/>
        </w:rPr>
        <w:t>for</w:t>
      </w:r>
      <w:r w:rsidRPr="00FA5BBA">
        <w:rPr>
          <w:rFonts w:ascii="Tahoma" w:hAnsi="Tahoma" w:cs="Tahoma"/>
          <w:b/>
          <w:bCs/>
          <w:sz w:val="27"/>
          <w:szCs w:val="27"/>
          <w:lang w:eastAsia="en-GB"/>
        </w:rPr>
        <w:t xml:space="preserve"> Governance Administrat</w:t>
      </w:r>
      <w:r>
        <w:rPr>
          <w:rFonts w:ascii="Tahoma" w:hAnsi="Tahoma" w:cs="Tahoma"/>
          <w:b/>
          <w:bCs/>
          <w:sz w:val="27"/>
          <w:szCs w:val="27"/>
          <w:lang w:eastAsia="en-GB"/>
        </w:rPr>
        <w:t>ion</w:t>
      </w:r>
    </w:p>
    <w:p w14:paraId="32ABD477" w14:textId="7C38C76A" w:rsidR="00013773" w:rsidRDefault="00013773" w:rsidP="00013773">
      <w:p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 xml:space="preserve">Methodist Women in Britain is a self-financing volunteer run charity within the Methodist Church and the British </w:t>
      </w:r>
      <w:r w:rsidR="00CC2CC8">
        <w:rPr>
          <w:rFonts w:ascii="Tahoma" w:hAnsi="Tahoma" w:cs="Tahoma"/>
          <w:sz w:val="24"/>
          <w:szCs w:val="24"/>
          <w:lang w:eastAsia="en-GB"/>
        </w:rPr>
        <w:t>U</w:t>
      </w:r>
      <w:r>
        <w:rPr>
          <w:rFonts w:ascii="Tahoma" w:hAnsi="Tahoma" w:cs="Tahoma"/>
          <w:sz w:val="24"/>
          <w:szCs w:val="24"/>
          <w:lang w:eastAsia="en-GB"/>
        </w:rPr>
        <w:t xml:space="preserve">nit (Europe: Britain and Ireland Area) of the World Federation of Methodist and Uniting Church Women (WFMUCW). </w:t>
      </w:r>
    </w:p>
    <w:p w14:paraId="0502A955" w14:textId="77777777" w:rsidR="00013773" w:rsidRDefault="00013773" w:rsidP="00013773">
      <w:p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 xml:space="preserve">We are passionate about women, about justice and about Christ. </w:t>
      </w:r>
    </w:p>
    <w:p w14:paraId="5226DC06" w14:textId="77777777" w:rsidR="00013773" w:rsidRDefault="00013773" w:rsidP="00013773">
      <w:p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By connecting women from within and beyond the Methodist Church, we equip them to participate more fully in their communities.</w:t>
      </w:r>
    </w:p>
    <w:p w14:paraId="37D3AA39" w14:textId="77777777" w:rsidR="00013773" w:rsidRPr="00436656" w:rsidRDefault="00013773" w:rsidP="00013773">
      <w:pPr>
        <w:spacing w:before="0" w:after="0" w:line="240" w:lineRule="auto"/>
        <w:rPr>
          <w:rFonts w:ascii="Tahoma" w:hAnsi="Tahoma" w:cs="Tahoma"/>
          <w:sz w:val="16"/>
          <w:szCs w:val="16"/>
          <w:lang w:eastAsia="en-GB"/>
        </w:rPr>
      </w:pPr>
    </w:p>
    <w:p w14:paraId="4E361097" w14:textId="77777777" w:rsidR="00013773" w:rsidRDefault="00013773" w:rsidP="00013773">
      <w:p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This is a 5-year volunteer appointment.</w:t>
      </w:r>
    </w:p>
    <w:p w14:paraId="4FEDF209" w14:textId="77777777" w:rsidR="00013773" w:rsidRPr="00BF0A28" w:rsidRDefault="00013773" w:rsidP="00013773">
      <w:p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0B27606D" w14:textId="77777777" w:rsidR="00013773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FA5BBA">
        <w:rPr>
          <w:rFonts w:ascii="Tahoma" w:hAnsi="Tahoma" w:cs="Tahoma"/>
          <w:b/>
          <w:bCs/>
          <w:sz w:val="27"/>
          <w:szCs w:val="27"/>
          <w:lang w:eastAsia="en-GB"/>
        </w:rPr>
        <w:t>Purpose of the Role</w:t>
      </w:r>
    </w:p>
    <w:p w14:paraId="052ED986" w14:textId="77777777" w:rsidR="00013773" w:rsidRPr="00FA5BBA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</w:p>
    <w:p w14:paraId="00AAFAD6" w14:textId="6FE435BF" w:rsidR="00013773" w:rsidRDefault="00013773" w:rsidP="00013773">
      <w:p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 xml:space="preserve">The </w:t>
      </w: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Trustee Lead </w:t>
      </w:r>
      <w:r w:rsidR="00C834AA">
        <w:rPr>
          <w:rFonts w:ascii="Tahoma" w:hAnsi="Tahoma" w:cs="Tahoma"/>
          <w:b/>
          <w:bCs/>
          <w:sz w:val="24"/>
          <w:szCs w:val="24"/>
          <w:lang w:eastAsia="en-GB"/>
        </w:rPr>
        <w:t>for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 xml:space="preserve"> </w:t>
      </w: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>Governance Administrat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ion</w:t>
      </w:r>
      <w:r w:rsidRPr="00FA5BBA">
        <w:rPr>
          <w:rFonts w:ascii="Tahoma" w:hAnsi="Tahoma" w:cs="Tahoma"/>
          <w:sz w:val="24"/>
          <w:szCs w:val="24"/>
          <w:lang w:eastAsia="en-GB"/>
        </w:rPr>
        <w:t xml:space="preserve"> is a statutory </w:t>
      </w:r>
      <w:r>
        <w:rPr>
          <w:rFonts w:ascii="Tahoma" w:hAnsi="Tahoma" w:cs="Tahoma"/>
          <w:sz w:val="24"/>
          <w:szCs w:val="24"/>
          <w:lang w:eastAsia="en-GB"/>
        </w:rPr>
        <w:t>t</w:t>
      </w:r>
      <w:r w:rsidRPr="00FA5BBA">
        <w:rPr>
          <w:rFonts w:ascii="Tahoma" w:hAnsi="Tahoma" w:cs="Tahoma"/>
          <w:sz w:val="24"/>
          <w:szCs w:val="24"/>
          <w:lang w:eastAsia="en-GB"/>
        </w:rPr>
        <w:t xml:space="preserve">rustee role that provides </w:t>
      </w:r>
      <w:r w:rsidRPr="00015174">
        <w:rPr>
          <w:rFonts w:ascii="Tahoma" w:hAnsi="Tahoma" w:cs="Tahoma"/>
          <w:sz w:val="24"/>
          <w:szCs w:val="24"/>
          <w:lang w:eastAsia="en-GB"/>
        </w:rPr>
        <w:t>governance oversight</w:t>
      </w:r>
      <w:r w:rsidRPr="00FA5BBA">
        <w:rPr>
          <w:rFonts w:ascii="Tahoma" w:hAnsi="Tahoma" w:cs="Tahoma"/>
          <w:sz w:val="24"/>
          <w:szCs w:val="24"/>
          <w:lang w:eastAsia="en-GB"/>
        </w:rPr>
        <w:t xml:space="preserve"> and strategic administrative leadership for the Board of Trustees. This role ensures that all formal governance mechanisms—including meeting procedures, decision-making records, and documentation compliance—are robust, legally sound, and facilitate the effective strategic leadership of the charity.</w:t>
      </w:r>
    </w:p>
    <w:p w14:paraId="5FDFF946" w14:textId="77777777" w:rsidR="00013773" w:rsidRPr="00FA5BBA" w:rsidRDefault="00013773" w:rsidP="00013773">
      <w:p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3A6590ED" w14:textId="77777777" w:rsidR="00013773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FA5BBA">
        <w:rPr>
          <w:rFonts w:ascii="Tahoma" w:hAnsi="Tahoma" w:cs="Tahoma"/>
          <w:b/>
          <w:bCs/>
          <w:sz w:val="27"/>
          <w:szCs w:val="27"/>
          <w:lang w:eastAsia="en-GB"/>
        </w:rPr>
        <w:t>Key Responsibilities</w:t>
      </w:r>
    </w:p>
    <w:p w14:paraId="55CE9AD6" w14:textId="77777777" w:rsidR="00013773" w:rsidRPr="00FA5BBA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</w:p>
    <w:p w14:paraId="65759BE1" w14:textId="77777777" w:rsidR="00013773" w:rsidRPr="00FA5BBA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1. Governance Assurance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 Meeting Procedures (Oversight)</w:t>
      </w:r>
    </w:p>
    <w:p w14:paraId="6BE9EC7D" w14:textId="77777777" w:rsidR="00013773" w:rsidRPr="00533BE1" w:rsidRDefault="00013773" w:rsidP="00013773">
      <w:pPr>
        <w:numPr>
          <w:ilvl w:val="0"/>
          <w:numId w:val="34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533BE1">
        <w:rPr>
          <w:rFonts w:ascii="Tahoma" w:hAnsi="Tahoma" w:cs="Tahoma"/>
          <w:sz w:val="24"/>
          <w:szCs w:val="24"/>
          <w:lang w:eastAsia="en-GB"/>
        </w:rPr>
        <w:t>Assure that formal board and task group meeting agendas and papers are prepared and circulated in line with the charity’s governing document and relevant legislation.</w:t>
      </w:r>
    </w:p>
    <w:p w14:paraId="08226AE1" w14:textId="77777777" w:rsidR="00013773" w:rsidRPr="00FA5BBA" w:rsidRDefault="00013773" w:rsidP="00013773">
      <w:pPr>
        <w:numPr>
          <w:ilvl w:val="0"/>
          <w:numId w:val="34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533BE1">
        <w:rPr>
          <w:rFonts w:ascii="Tahoma" w:hAnsi="Tahoma" w:cs="Tahoma"/>
          <w:sz w:val="24"/>
          <w:szCs w:val="24"/>
          <w:lang w:eastAsia="en-GB"/>
        </w:rPr>
        <w:t>Oversee</w:t>
      </w:r>
      <w:r w:rsidRPr="00FA5BBA">
        <w:rPr>
          <w:rFonts w:ascii="Tahoma" w:hAnsi="Tahoma" w:cs="Tahoma"/>
          <w:sz w:val="24"/>
          <w:szCs w:val="24"/>
          <w:lang w:eastAsia="en-GB"/>
        </w:rPr>
        <w:t xml:space="preserve"> the process of formal minute-taking for all board meetings, ensuring accuracy, objectivity and timely circulation of decisions and formal action logs.</w:t>
      </w:r>
    </w:p>
    <w:p w14:paraId="2B6AE9C5" w14:textId="77777777" w:rsidR="00013773" w:rsidRDefault="00013773" w:rsidP="00013773">
      <w:pPr>
        <w:numPr>
          <w:ilvl w:val="0"/>
          <w:numId w:val="34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Monitor and track the resolution of major board decisions and governance-related actions, reporting status to the Chair and the board.</w:t>
      </w:r>
    </w:p>
    <w:p w14:paraId="734DA2A4" w14:textId="77777777" w:rsidR="00013773" w:rsidRPr="00FA5BBA" w:rsidRDefault="00013773" w:rsidP="00013773">
      <w:pPr>
        <w:numPr>
          <w:ilvl w:val="0"/>
          <w:numId w:val="34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3F96EE9A" w14:textId="77777777" w:rsidR="00013773" w:rsidRPr="00FA5BBA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2. Statutory Governance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 Record Keeping (Compliance)</w:t>
      </w:r>
    </w:p>
    <w:p w14:paraId="1C4C6117" w14:textId="77777777" w:rsidR="00013773" w:rsidRPr="00462BC1" w:rsidRDefault="00013773" w:rsidP="00013773">
      <w:pPr>
        <w:numPr>
          <w:ilvl w:val="0"/>
          <w:numId w:val="35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 xml:space="preserve">Lead the maintenance of accurate and complete statutory trustee records, including terms of office, contact details, and formal </w:t>
      </w:r>
      <w:r w:rsidRPr="00462BC1">
        <w:rPr>
          <w:rFonts w:ascii="Tahoma" w:hAnsi="Tahoma" w:cs="Tahoma"/>
          <w:sz w:val="24"/>
          <w:szCs w:val="24"/>
          <w:lang w:eastAsia="en-GB"/>
        </w:rPr>
        <w:t>declarations of interest.</w:t>
      </w:r>
    </w:p>
    <w:p w14:paraId="39356C59" w14:textId="77777777" w:rsidR="00013773" w:rsidRPr="00533BE1" w:rsidRDefault="00013773" w:rsidP="00013773">
      <w:pPr>
        <w:numPr>
          <w:ilvl w:val="0"/>
          <w:numId w:val="35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533BE1">
        <w:rPr>
          <w:rFonts w:ascii="Tahoma" w:hAnsi="Tahoma" w:cs="Tahoma"/>
          <w:sz w:val="24"/>
          <w:szCs w:val="24"/>
          <w:lang w:eastAsia="en-GB"/>
        </w:rPr>
        <w:t xml:space="preserve">Maintain the integrity of the Governance Register, overseeing the secure storage, </w:t>
      </w:r>
      <w:proofErr w:type="spellStart"/>
      <w:r w:rsidRPr="00533BE1">
        <w:rPr>
          <w:rFonts w:ascii="Tahoma" w:hAnsi="Tahoma" w:cs="Tahoma"/>
          <w:sz w:val="24"/>
          <w:szCs w:val="24"/>
          <w:lang w:eastAsia="en-GB"/>
        </w:rPr>
        <w:t>organisation</w:t>
      </w:r>
      <w:proofErr w:type="spellEnd"/>
      <w:r w:rsidRPr="00533BE1">
        <w:rPr>
          <w:rFonts w:ascii="Tahoma" w:hAnsi="Tahoma" w:cs="Tahoma"/>
          <w:sz w:val="24"/>
          <w:szCs w:val="24"/>
          <w:lang w:eastAsia="en-GB"/>
        </w:rPr>
        <w:t xml:space="preserve"> and accessibility of all formal governance documents (e.g. governing documents, formal policies, archived minutes).</w:t>
      </w:r>
    </w:p>
    <w:p w14:paraId="518A66A0" w14:textId="77777777" w:rsidR="00013773" w:rsidRPr="00533BE1" w:rsidRDefault="00013773" w:rsidP="00013773">
      <w:pPr>
        <w:numPr>
          <w:ilvl w:val="0"/>
          <w:numId w:val="35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533BE1">
        <w:rPr>
          <w:rFonts w:ascii="Tahoma" w:hAnsi="Tahoma" w:cs="Tahoma"/>
          <w:sz w:val="24"/>
          <w:szCs w:val="24"/>
          <w:lang w:eastAsia="en-GB"/>
        </w:rPr>
        <w:t>Lead the implementation of the annual governance cycle, including the schedule of meetings and required policy reviews.</w:t>
      </w:r>
    </w:p>
    <w:p w14:paraId="631D990D" w14:textId="5C20AF5B" w:rsidR="00013773" w:rsidRDefault="00013773" w:rsidP="0088646E">
      <w:pPr>
        <w:numPr>
          <w:ilvl w:val="0"/>
          <w:numId w:val="35"/>
        </w:numPr>
        <w:spacing w:before="0" w:after="0" w:line="240" w:lineRule="auto"/>
        <w:outlineLvl w:val="3"/>
        <w:rPr>
          <w:rFonts w:ascii="Tahoma" w:hAnsi="Tahoma" w:cs="Tahoma"/>
          <w:sz w:val="24"/>
          <w:szCs w:val="24"/>
          <w:lang w:eastAsia="en-GB"/>
        </w:rPr>
      </w:pPr>
      <w:r w:rsidRPr="00013773">
        <w:rPr>
          <w:rFonts w:ascii="Tahoma" w:hAnsi="Tahoma" w:cs="Tahoma"/>
          <w:sz w:val="24"/>
          <w:szCs w:val="24"/>
          <w:lang w:eastAsia="en-GB"/>
        </w:rPr>
        <w:t>Ensure that documents are processed and stored in strict compliance with the Data Protection Act and GDPR requirements.</w:t>
      </w:r>
    </w:p>
    <w:p w14:paraId="6B716C72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sz w:val="24"/>
          <w:szCs w:val="24"/>
          <w:lang w:eastAsia="en-GB"/>
        </w:rPr>
      </w:pPr>
    </w:p>
    <w:p w14:paraId="184D73E8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sz w:val="24"/>
          <w:szCs w:val="24"/>
          <w:lang w:eastAsia="en-GB"/>
        </w:rPr>
      </w:pPr>
    </w:p>
    <w:p w14:paraId="1A54C149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sz w:val="24"/>
          <w:szCs w:val="24"/>
          <w:lang w:eastAsia="en-GB"/>
        </w:rPr>
      </w:pPr>
    </w:p>
    <w:p w14:paraId="3348C535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sz w:val="24"/>
          <w:szCs w:val="24"/>
          <w:lang w:eastAsia="en-GB"/>
        </w:rPr>
      </w:pPr>
    </w:p>
    <w:p w14:paraId="7CEFBD72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sz w:val="24"/>
          <w:szCs w:val="24"/>
          <w:lang w:eastAsia="en-GB"/>
        </w:rPr>
      </w:pPr>
    </w:p>
    <w:p w14:paraId="02AD2AEA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sz w:val="24"/>
          <w:szCs w:val="24"/>
          <w:lang w:eastAsia="en-GB"/>
        </w:rPr>
      </w:pPr>
    </w:p>
    <w:p w14:paraId="57E0535F" w14:textId="77777777" w:rsidR="00013773" w:rsidRP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sz w:val="24"/>
          <w:szCs w:val="24"/>
          <w:lang w:eastAsia="en-GB"/>
        </w:rPr>
      </w:pPr>
    </w:p>
    <w:p w14:paraId="75E57882" w14:textId="77777777" w:rsidR="00013773" w:rsidRP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sz w:val="16"/>
          <w:szCs w:val="16"/>
          <w:lang w:eastAsia="en-GB"/>
        </w:rPr>
      </w:pPr>
    </w:p>
    <w:p w14:paraId="02E27444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5A09433A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29669761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69276031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3404214F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464B12AA" w14:textId="26A21B75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3. Board Communication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 Coordination (Efficiency)</w:t>
      </w:r>
    </w:p>
    <w:p w14:paraId="1F58BE5E" w14:textId="77777777" w:rsidR="00013773" w:rsidRPr="00FA5BBA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4917CD1D" w14:textId="7A22322B" w:rsidR="00013773" w:rsidRPr="00FA5BBA" w:rsidRDefault="00013773" w:rsidP="00013773">
      <w:pPr>
        <w:numPr>
          <w:ilvl w:val="0"/>
          <w:numId w:val="36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 xml:space="preserve">Act as the central point of administrative coordination to ensure timely and effective communication among </w:t>
      </w:r>
      <w:r>
        <w:rPr>
          <w:rFonts w:ascii="Tahoma" w:hAnsi="Tahoma" w:cs="Tahoma"/>
          <w:sz w:val="24"/>
          <w:szCs w:val="24"/>
          <w:lang w:eastAsia="en-GB"/>
        </w:rPr>
        <w:t xml:space="preserve">Board </w:t>
      </w:r>
      <w:r w:rsidR="000C7161">
        <w:rPr>
          <w:rFonts w:ascii="Tahoma" w:hAnsi="Tahoma" w:cs="Tahoma"/>
          <w:sz w:val="24"/>
          <w:szCs w:val="24"/>
          <w:lang w:eastAsia="en-GB"/>
        </w:rPr>
        <w:t xml:space="preserve">of </w:t>
      </w:r>
      <w:r w:rsidRPr="00FA5BBA">
        <w:rPr>
          <w:rFonts w:ascii="Tahoma" w:hAnsi="Tahoma" w:cs="Tahoma"/>
          <w:sz w:val="24"/>
          <w:szCs w:val="24"/>
          <w:lang w:eastAsia="en-GB"/>
        </w:rPr>
        <w:t>Trustees</w:t>
      </w:r>
      <w:r>
        <w:rPr>
          <w:rFonts w:ascii="Tahoma" w:hAnsi="Tahoma" w:cs="Tahoma"/>
          <w:sz w:val="24"/>
          <w:szCs w:val="24"/>
          <w:lang w:eastAsia="en-GB"/>
        </w:rPr>
        <w:t>.</w:t>
      </w:r>
      <w:r w:rsidRPr="00FA5BBA">
        <w:rPr>
          <w:rFonts w:ascii="Tahoma" w:hAnsi="Tahoma" w:cs="Tahoma"/>
          <w:sz w:val="24"/>
          <w:szCs w:val="24"/>
          <w:lang w:eastAsia="en-GB"/>
        </w:rPr>
        <w:t xml:space="preserve"> </w:t>
      </w:r>
    </w:p>
    <w:p w14:paraId="3124A4B5" w14:textId="77777777" w:rsidR="00013773" w:rsidRPr="00533BE1" w:rsidRDefault="00013773" w:rsidP="00013773">
      <w:pPr>
        <w:numPr>
          <w:ilvl w:val="0"/>
          <w:numId w:val="36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533BE1">
        <w:rPr>
          <w:rFonts w:ascii="Tahoma" w:hAnsi="Tahoma" w:cs="Tahoma"/>
          <w:sz w:val="24"/>
          <w:szCs w:val="24"/>
          <w:lang w:eastAsia="en-GB"/>
        </w:rPr>
        <w:t xml:space="preserve">Provide administrative support for the communication needs of the trustees to </w:t>
      </w:r>
      <w:r>
        <w:rPr>
          <w:rFonts w:ascii="Tahoma" w:hAnsi="Tahoma" w:cs="Tahoma"/>
          <w:sz w:val="24"/>
          <w:szCs w:val="24"/>
          <w:lang w:eastAsia="en-GB"/>
        </w:rPr>
        <w:t xml:space="preserve">District and Partner </w:t>
      </w:r>
      <w:r w:rsidRPr="00533BE1">
        <w:rPr>
          <w:rFonts w:ascii="Tahoma" w:hAnsi="Tahoma" w:cs="Tahoma"/>
          <w:sz w:val="24"/>
          <w:szCs w:val="24"/>
          <w:lang w:eastAsia="en-GB"/>
        </w:rPr>
        <w:t xml:space="preserve">Ambassadors, ensuring consistency with board decisions, working closely with the </w:t>
      </w:r>
      <w:r>
        <w:rPr>
          <w:rFonts w:ascii="Tahoma" w:hAnsi="Tahoma" w:cs="Tahoma"/>
          <w:sz w:val="24"/>
          <w:szCs w:val="24"/>
          <w:lang w:eastAsia="en-GB"/>
        </w:rPr>
        <w:t xml:space="preserve">Trustee Leads for </w:t>
      </w:r>
      <w:r w:rsidRPr="00533BE1">
        <w:rPr>
          <w:rFonts w:ascii="Tahoma" w:hAnsi="Tahoma" w:cs="Tahoma"/>
          <w:sz w:val="24"/>
          <w:szCs w:val="24"/>
          <w:lang w:eastAsia="en-GB"/>
        </w:rPr>
        <w:t>Communications and People and Volunteering.</w:t>
      </w:r>
    </w:p>
    <w:p w14:paraId="65CF7F0E" w14:textId="77777777" w:rsidR="00013773" w:rsidRDefault="00013773" w:rsidP="00013773">
      <w:pPr>
        <w:numPr>
          <w:ilvl w:val="0"/>
          <w:numId w:val="36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533BE1">
        <w:rPr>
          <w:rFonts w:ascii="Tahoma" w:hAnsi="Tahoma" w:cs="Tahoma"/>
          <w:sz w:val="24"/>
          <w:szCs w:val="24"/>
          <w:lang w:eastAsia="en-GB"/>
        </w:rPr>
        <w:t xml:space="preserve">Assist with the administration of Trustee recruitment and induction, working with the </w:t>
      </w:r>
      <w:r>
        <w:rPr>
          <w:rFonts w:ascii="Tahoma" w:hAnsi="Tahoma" w:cs="Tahoma"/>
          <w:sz w:val="24"/>
          <w:szCs w:val="24"/>
          <w:lang w:eastAsia="en-GB"/>
        </w:rPr>
        <w:t xml:space="preserve">Trustee </w:t>
      </w:r>
      <w:r w:rsidRPr="00533BE1">
        <w:rPr>
          <w:rFonts w:ascii="Tahoma" w:hAnsi="Tahoma" w:cs="Tahoma"/>
          <w:sz w:val="24"/>
          <w:szCs w:val="24"/>
          <w:lang w:eastAsia="en-GB"/>
        </w:rPr>
        <w:t>Lead</w:t>
      </w:r>
      <w:r>
        <w:rPr>
          <w:rFonts w:ascii="Tahoma" w:hAnsi="Tahoma" w:cs="Tahoma"/>
          <w:sz w:val="24"/>
          <w:szCs w:val="24"/>
          <w:lang w:eastAsia="en-GB"/>
        </w:rPr>
        <w:t xml:space="preserve"> for</w:t>
      </w:r>
      <w:r w:rsidRPr="00533BE1">
        <w:rPr>
          <w:rFonts w:ascii="Tahoma" w:hAnsi="Tahoma" w:cs="Tahoma"/>
          <w:sz w:val="24"/>
          <w:szCs w:val="24"/>
          <w:lang w:eastAsia="en-GB"/>
        </w:rPr>
        <w:t xml:space="preserve"> People and Volunteering to ensure these processes are compliant and documented.</w:t>
      </w:r>
    </w:p>
    <w:p w14:paraId="5426F693" w14:textId="77777777" w:rsidR="00013773" w:rsidRPr="00533BE1" w:rsidRDefault="00013773" w:rsidP="00013773">
      <w:pPr>
        <w:spacing w:before="0" w:after="0" w:line="240" w:lineRule="auto"/>
        <w:ind w:left="720"/>
        <w:rPr>
          <w:rFonts w:ascii="Tahoma" w:hAnsi="Tahoma" w:cs="Tahoma"/>
          <w:sz w:val="24"/>
          <w:szCs w:val="24"/>
          <w:lang w:eastAsia="en-GB"/>
        </w:rPr>
      </w:pPr>
    </w:p>
    <w:p w14:paraId="644A2AFA" w14:textId="77777777" w:rsidR="00013773" w:rsidRPr="00FA5BBA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4. Fiduciary Duty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 xml:space="preserve"> Confidentiality</w:t>
      </w:r>
    </w:p>
    <w:p w14:paraId="0C5FB26F" w14:textId="77777777" w:rsidR="00013773" w:rsidRPr="00FA5BBA" w:rsidRDefault="00013773" w:rsidP="00013773">
      <w:pPr>
        <w:numPr>
          <w:ilvl w:val="0"/>
          <w:numId w:val="37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Exercise the full legal duties of a Trustee, including acting in the charity’s best interests and managing resources responsibly.</w:t>
      </w:r>
    </w:p>
    <w:p w14:paraId="4E4CF83B" w14:textId="77777777" w:rsidR="00013773" w:rsidRDefault="00013773" w:rsidP="00013773">
      <w:pPr>
        <w:numPr>
          <w:ilvl w:val="0"/>
          <w:numId w:val="37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Uphold the highest levels of discretion and integrity when handling confidential and sensitive governance information.</w:t>
      </w:r>
    </w:p>
    <w:p w14:paraId="07B2B8CA" w14:textId="77777777" w:rsidR="00013773" w:rsidRPr="00FA5BBA" w:rsidRDefault="00013773" w:rsidP="00013773">
      <w:pPr>
        <w:spacing w:before="0" w:after="0" w:line="240" w:lineRule="auto"/>
        <w:ind w:left="720"/>
        <w:rPr>
          <w:rFonts w:ascii="Tahoma" w:hAnsi="Tahoma" w:cs="Tahoma"/>
          <w:sz w:val="24"/>
          <w:szCs w:val="24"/>
          <w:lang w:eastAsia="en-GB"/>
        </w:rPr>
      </w:pPr>
    </w:p>
    <w:p w14:paraId="79DBDA34" w14:textId="77777777" w:rsidR="00013773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FA5BBA">
        <w:rPr>
          <w:rFonts w:ascii="Tahoma" w:hAnsi="Tahoma" w:cs="Tahoma"/>
          <w:b/>
          <w:bCs/>
          <w:sz w:val="27"/>
          <w:szCs w:val="27"/>
          <w:lang w:eastAsia="en-GB"/>
        </w:rPr>
        <w:t>What We’re Looking For</w:t>
      </w:r>
    </w:p>
    <w:p w14:paraId="2042D3E8" w14:textId="77777777" w:rsidR="00013773" w:rsidRPr="00FA5BBA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</w:p>
    <w:p w14:paraId="024EF6E1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>Essential</w:t>
      </w:r>
    </w:p>
    <w:p w14:paraId="05222FAB" w14:textId="77777777" w:rsidR="00013773" w:rsidRPr="00FA5BBA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2A61BE20" w14:textId="77777777" w:rsidR="00013773" w:rsidRPr="00533BE1" w:rsidRDefault="00013773" w:rsidP="00013773">
      <w:pPr>
        <w:numPr>
          <w:ilvl w:val="0"/>
          <w:numId w:val="38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533BE1">
        <w:rPr>
          <w:rFonts w:ascii="Tahoma" w:hAnsi="Tahoma" w:cs="Tahoma"/>
          <w:sz w:val="24"/>
          <w:szCs w:val="24"/>
          <w:lang w:eastAsia="en-GB"/>
        </w:rPr>
        <w:t>A strong understanding of, or willingness to rapidly learn, charity governance and the statutory duties of a trustee.</w:t>
      </w:r>
    </w:p>
    <w:p w14:paraId="02C7A7CD" w14:textId="77777777" w:rsidR="00013773" w:rsidRPr="00FA5BBA" w:rsidRDefault="00013773" w:rsidP="00013773">
      <w:pPr>
        <w:numPr>
          <w:ilvl w:val="0"/>
          <w:numId w:val="38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 xml:space="preserve">Exceptional </w:t>
      </w:r>
      <w:proofErr w:type="spellStart"/>
      <w:r w:rsidRPr="00FA5BBA">
        <w:rPr>
          <w:rFonts w:ascii="Tahoma" w:hAnsi="Tahoma" w:cs="Tahoma"/>
          <w:sz w:val="24"/>
          <w:szCs w:val="24"/>
          <w:lang w:eastAsia="en-GB"/>
        </w:rPr>
        <w:t>organisational</w:t>
      </w:r>
      <w:proofErr w:type="spellEnd"/>
      <w:r w:rsidRPr="00FA5BBA">
        <w:rPr>
          <w:rFonts w:ascii="Tahoma" w:hAnsi="Tahoma" w:cs="Tahoma"/>
          <w:sz w:val="24"/>
          <w:szCs w:val="24"/>
          <w:lang w:eastAsia="en-GB"/>
        </w:rPr>
        <w:t xml:space="preserve"> and time management skills suitable for a governance environment.</w:t>
      </w:r>
    </w:p>
    <w:p w14:paraId="407D033E" w14:textId="77777777" w:rsidR="00013773" w:rsidRPr="00FA5BBA" w:rsidRDefault="00013773" w:rsidP="00013773">
      <w:pPr>
        <w:numPr>
          <w:ilvl w:val="0"/>
          <w:numId w:val="38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Strong written communication skills and high proficiency in basic IT and document management systems.</w:t>
      </w:r>
    </w:p>
    <w:p w14:paraId="16F23BF8" w14:textId="77777777" w:rsidR="00013773" w:rsidRPr="00FA5BBA" w:rsidRDefault="00013773" w:rsidP="00013773">
      <w:pPr>
        <w:numPr>
          <w:ilvl w:val="0"/>
          <w:numId w:val="38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Demonstrable accuracy, reliability and meticulous attention to detail required for statutory record-keeping.</w:t>
      </w:r>
    </w:p>
    <w:p w14:paraId="65F3466C" w14:textId="77777777" w:rsidR="00013773" w:rsidRPr="00FA5BBA" w:rsidRDefault="00013773" w:rsidP="00013773">
      <w:pPr>
        <w:numPr>
          <w:ilvl w:val="0"/>
          <w:numId w:val="38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A professional, impartial approach and commitment to the highest standards of confidentiality.</w:t>
      </w:r>
    </w:p>
    <w:p w14:paraId="1FD7B890" w14:textId="77777777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40E19951" w14:textId="3EC828F3" w:rsidR="00013773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FA5BBA">
        <w:rPr>
          <w:rFonts w:ascii="Tahoma" w:hAnsi="Tahoma" w:cs="Tahoma"/>
          <w:b/>
          <w:bCs/>
          <w:sz w:val="24"/>
          <w:szCs w:val="24"/>
          <w:lang w:eastAsia="en-GB"/>
        </w:rPr>
        <w:t>Desirable</w:t>
      </w:r>
    </w:p>
    <w:p w14:paraId="7FBD8F4B" w14:textId="77777777" w:rsidR="00013773" w:rsidRPr="00FA5BBA" w:rsidRDefault="00013773" w:rsidP="00013773">
      <w:pPr>
        <w:spacing w:before="0" w:after="0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29C38A79" w14:textId="77777777" w:rsidR="00013773" w:rsidRPr="00FA5BBA" w:rsidRDefault="00013773" w:rsidP="00013773">
      <w:pPr>
        <w:numPr>
          <w:ilvl w:val="0"/>
          <w:numId w:val="39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Previous experience in a governance support role (e.g., Company Secretary, Board Administrator) or as a Trustee.</w:t>
      </w:r>
    </w:p>
    <w:p w14:paraId="4DA419D3" w14:textId="77777777" w:rsidR="00013773" w:rsidRPr="00FA5BBA" w:rsidRDefault="00013773" w:rsidP="00013773">
      <w:pPr>
        <w:numPr>
          <w:ilvl w:val="0"/>
          <w:numId w:val="39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Experience with secure digital data management and compliance frameworks (e.g., GDPR).</w:t>
      </w:r>
    </w:p>
    <w:p w14:paraId="1A8E00F8" w14:textId="77777777" w:rsidR="00013773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</w:p>
    <w:p w14:paraId="2B7F93A3" w14:textId="31D02E53" w:rsidR="00013773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FA5BBA">
        <w:rPr>
          <w:rFonts w:ascii="Tahoma" w:hAnsi="Tahoma" w:cs="Tahoma"/>
          <w:b/>
          <w:bCs/>
          <w:sz w:val="27"/>
          <w:szCs w:val="27"/>
          <w:lang w:eastAsia="en-GB"/>
        </w:rPr>
        <w:t>Time Commitment</w:t>
      </w:r>
    </w:p>
    <w:p w14:paraId="7B1BB4B7" w14:textId="77777777" w:rsidR="00013773" w:rsidRPr="00FA5BBA" w:rsidRDefault="00013773" w:rsidP="00013773">
      <w:pPr>
        <w:spacing w:before="0" w:after="0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</w:p>
    <w:p w14:paraId="584FA1D7" w14:textId="77777777" w:rsidR="00013773" w:rsidRPr="00500373" w:rsidRDefault="00013773" w:rsidP="00013773">
      <w:pPr>
        <w:numPr>
          <w:ilvl w:val="0"/>
          <w:numId w:val="40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BF0A28">
        <w:rPr>
          <w:rFonts w:ascii="Tahoma" w:hAnsi="Tahoma" w:cs="Tahoma"/>
          <w:sz w:val="24"/>
          <w:szCs w:val="24"/>
          <w:lang w:eastAsia="en-GB"/>
        </w:rPr>
        <w:t>Attendance at all monthly</w:t>
      </w:r>
      <w:r>
        <w:rPr>
          <w:rFonts w:ascii="Tahoma" w:hAnsi="Tahoma" w:cs="Tahoma"/>
          <w:sz w:val="24"/>
          <w:szCs w:val="24"/>
          <w:lang w:eastAsia="en-GB"/>
        </w:rPr>
        <w:t xml:space="preserve"> online</w:t>
      </w:r>
      <w:r w:rsidRPr="00BF0A28">
        <w:rPr>
          <w:rFonts w:ascii="Tahoma" w:hAnsi="Tahoma" w:cs="Tahoma"/>
          <w:sz w:val="24"/>
          <w:szCs w:val="24"/>
          <w:lang w:eastAsia="en-GB"/>
        </w:rPr>
        <w:t xml:space="preserve"> board meetings</w:t>
      </w:r>
      <w:r>
        <w:rPr>
          <w:rFonts w:ascii="Tahoma" w:hAnsi="Tahoma" w:cs="Tahoma"/>
          <w:sz w:val="24"/>
          <w:szCs w:val="24"/>
          <w:lang w:eastAsia="en-GB"/>
        </w:rPr>
        <w:t>, typically 90 minutes.</w:t>
      </w:r>
    </w:p>
    <w:p w14:paraId="020095D8" w14:textId="77777777" w:rsidR="00013773" w:rsidRDefault="00013773" w:rsidP="00013773">
      <w:pPr>
        <w:numPr>
          <w:ilvl w:val="0"/>
          <w:numId w:val="40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 xml:space="preserve">Attendance at 24-hour board meetings (may be up to 5 per year) </w:t>
      </w:r>
    </w:p>
    <w:p w14:paraId="6B811FB0" w14:textId="77777777" w:rsidR="00013773" w:rsidRPr="00FA5BBA" w:rsidRDefault="00013773" w:rsidP="00013773">
      <w:pPr>
        <w:numPr>
          <w:ilvl w:val="0"/>
          <w:numId w:val="40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Approximately 10 - 15 hours per month (flexible, but critical deadlines around meetings must be met).</w:t>
      </w:r>
    </w:p>
    <w:p w14:paraId="53A980D3" w14:textId="77777777" w:rsidR="00013773" w:rsidRPr="00FA5BBA" w:rsidRDefault="00013773" w:rsidP="00013773">
      <w:pPr>
        <w:numPr>
          <w:ilvl w:val="0"/>
          <w:numId w:val="40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FA5BBA">
        <w:rPr>
          <w:rFonts w:ascii="Tahoma" w:hAnsi="Tahoma" w:cs="Tahoma"/>
          <w:sz w:val="24"/>
          <w:szCs w:val="24"/>
          <w:lang w:eastAsia="en-GB"/>
        </w:rPr>
        <w:t>Additional time around annual reporting and governance review periods.</w:t>
      </w:r>
    </w:p>
    <w:p w14:paraId="136671E3" w14:textId="77777777" w:rsidR="00013773" w:rsidRDefault="00013773" w:rsidP="00013773">
      <w:pPr>
        <w:spacing w:before="0" w:after="0"/>
        <w:rPr>
          <w:rFonts w:ascii="Tahoma" w:hAnsi="Tahoma" w:cs="Tahoma"/>
          <w:b/>
          <w:bCs/>
          <w:sz w:val="27"/>
          <w:szCs w:val="27"/>
        </w:rPr>
      </w:pPr>
    </w:p>
    <w:p w14:paraId="152C6EDD" w14:textId="77777777" w:rsidR="00013773" w:rsidRDefault="00013773" w:rsidP="00013773">
      <w:pPr>
        <w:spacing w:before="0" w:after="0"/>
        <w:rPr>
          <w:rFonts w:ascii="Tahoma" w:hAnsi="Tahoma" w:cs="Tahoma"/>
          <w:b/>
          <w:bCs/>
          <w:sz w:val="27"/>
          <w:szCs w:val="27"/>
        </w:rPr>
      </w:pPr>
    </w:p>
    <w:p w14:paraId="4AB32A0F" w14:textId="77777777" w:rsidR="00013773" w:rsidRDefault="00013773" w:rsidP="00013773">
      <w:pPr>
        <w:spacing w:before="0" w:after="0"/>
        <w:rPr>
          <w:rFonts w:ascii="Tahoma" w:hAnsi="Tahoma" w:cs="Tahoma"/>
          <w:b/>
          <w:bCs/>
          <w:sz w:val="27"/>
          <w:szCs w:val="27"/>
        </w:rPr>
      </w:pPr>
    </w:p>
    <w:p w14:paraId="6F5CBE89" w14:textId="77777777" w:rsidR="00013773" w:rsidRDefault="00013773" w:rsidP="00013773">
      <w:pPr>
        <w:spacing w:before="0" w:after="0"/>
        <w:rPr>
          <w:rFonts w:ascii="Tahoma" w:hAnsi="Tahoma" w:cs="Tahoma"/>
          <w:b/>
          <w:bCs/>
          <w:sz w:val="27"/>
          <w:szCs w:val="27"/>
        </w:rPr>
      </w:pPr>
    </w:p>
    <w:p w14:paraId="28BFFFFC" w14:textId="27DEDA56" w:rsidR="00013773" w:rsidRDefault="00013773" w:rsidP="00013773">
      <w:pPr>
        <w:spacing w:before="0" w:after="0"/>
        <w:rPr>
          <w:rFonts w:ascii="Tahoma" w:hAnsi="Tahoma" w:cs="Tahoma"/>
          <w:b/>
          <w:bCs/>
          <w:sz w:val="27"/>
          <w:szCs w:val="27"/>
        </w:rPr>
      </w:pPr>
      <w:r w:rsidRPr="009E08B5">
        <w:rPr>
          <w:rFonts w:ascii="Tahoma" w:hAnsi="Tahoma" w:cs="Tahoma"/>
          <w:b/>
          <w:bCs/>
          <w:sz w:val="27"/>
          <w:szCs w:val="27"/>
        </w:rPr>
        <w:t>Expenses</w:t>
      </w:r>
    </w:p>
    <w:p w14:paraId="7241764A" w14:textId="77777777" w:rsidR="00013773" w:rsidRPr="00013773" w:rsidRDefault="00013773" w:rsidP="00013773">
      <w:pPr>
        <w:spacing w:before="0" w:after="0"/>
        <w:rPr>
          <w:rFonts w:ascii="Tahoma" w:hAnsi="Tahoma" w:cs="Tahoma"/>
          <w:b/>
          <w:bCs/>
          <w:sz w:val="16"/>
          <w:szCs w:val="16"/>
        </w:rPr>
      </w:pPr>
    </w:p>
    <w:p w14:paraId="68CC3E83" w14:textId="77777777" w:rsidR="00013773" w:rsidRPr="002B570F" w:rsidRDefault="00013773" w:rsidP="00013773">
      <w:pPr>
        <w:spacing w:before="0" w:after="0"/>
        <w:ind w:left="360"/>
        <w:rPr>
          <w:rFonts w:ascii="Tahoma" w:hAnsi="Tahoma" w:cs="Tahoma"/>
          <w:sz w:val="24"/>
          <w:szCs w:val="24"/>
        </w:rPr>
      </w:pPr>
      <w:r w:rsidRPr="002B570F">
        <w:rPr>
          <w:rFonts w:ascii="Tahoma" w:hAnsi="Tahoma" w:cs="Tahoma"/>
          <w:sz w:val="24"/>
          <w:szCs w:val="24"/>
        </w:rPr>
        <w:t xml:space="preserve">Methodist Women in Britain is committed to ensuring that no volunteer is financially disadvantaged by their service. All reasonable out-of-pocket expenses incurred in the performance of </w:t>
      </w:r>
      <w:proofErr w:type="spellStart"/>
      <w:r w:rsidRPr="002B570F">
        <w:rPr>
          <w:rFonts w:ascii="Tahoma" w:hAnsi="Tahoma" w:cs="Tahoma"/>
          <w:sz w:val="24"/>
          <w:szCs w:val="24"/>
        </w:rPr>
        <w:t>authori</w:t>
      </w:r>
      <w:r>
        <w:rPr>
          <w:rFonts w:ascii="Tahoma" w:hAnsi="Tahoma" w:cs="Tahoma"/>
          <w:sz w:val="24"/>
          <w:szCs w:val="24"/>
        </w:rPr>
        <w:t>s</w:t>
      </w:r>
      <w:r w:rsidRPr="002B570F">
        <w:rPr>
          <w:rFonts w:ascii="Tahoma" w:hAnsi="Tahoma" w:cs="Tahoma"/>
          <w:sz w:val="24"/>
          <w:szCs w:val="24"/>
        </w:rPr>
        <w:t>ed</w:t>
      </w:r>
      <w:proofErr w:type="spellEnd"/>
      <w:r w:rsidRPr="002B570F">
        <w:rPr>
          <w:rFonts w:ascii="Tahoma" w:hAnsi="Tahoma" w:cs="Tahoma"/>
          <w:sz w:val="24"/>
          <w:szCs w:val="24"/>
        </w:rPr>
        <w:t xml:space="preserve"> MWiB duties (including travel to meetings, postage, and necessary materials) will be reimbursed in accordance with the MWiB Expenses Policy.</w:t>
      </w:r>
    </w:p>
    <w:p w14:paraId="7E870ADE" w14:textId="77777777" w:rsidR="00013773" w:rsidRPr="00FA5BBA" w:rsidRDefault="00013773" w:rsidP="00013773">
      <w:pPr>
        <w:spacing w:before="0" w:after="0"/>
        <w:rPr>
          <w:rFonts w:ascii="Tahoma" w:hAnsi="Tahoma" w:cs="Tahoma"/>
        </w:rPr>
      </w:pPr>
    </w:p>
    <w:p w14:paraId="59877A73" w14:textId="77777777" w:rsidR="008A4A02" w:rsidRPr="008A4A02" w:rsidRDefault="008A4A02" w:rsidP="00013773">
      <w:pPr>
        <w:spacing w:before="0" w:after="0" w:line="240" w:lineRule="auto"/>
        <w:outlineLvl w:val="1"/>
        <w:rPr>
          <w:lang w:val="en-GB"/>
        </w:rPr>
      </w:pPr>
    </w:p>
    <w:sectPr w:rsidR="008A4A02" w:rsidRPr="008A4A02" w:rsidSect="0009390C">
      <w:headerReference w:type="default" r:id="rId7"/>
      <w:footerReference w:type="default" r:id="rId8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2B20" w14:textId="77777777" w:rsidR="00900F45" w:rsidRDefault="00900F45" w:rsidP="00555D3B">
      <w:pPr>
        <w:spacing w:before="0" w:after="0" w:line="240" w:lineRule="auto"/>
      </w:pPr>
      <w:r>
        <w:separator/>
      </w:r>
    </w:p>
  </w:endnote>
  <w:endnote w:type="continuationSeparator" w:id="0">
    <w:p w14:paraId="2F2FE702" w14:textId="77777777" w:rsidR="00900F45" w:rsidRDefault="00900F45" w:rsidP="00555D3B">
      <w:pPr>
        <w:spacing w:before="0" w:after="0" w:line="240" w:lineRule="auto"/>
      </w:pPr>
      <w:r>
        <w:continuationSeparator/>
      </w:r>
    </w:p>
  </w:endnote>
  <w:endnote w:type="continuationNotice" w:id="1">
    <w:p w14:paraId="23FCF8A3" w14:textId="77777777" w:rsidR="00900F45" w:rsidRDefault="00900F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FFD8" w14:textId="45B45890" w:rsidR="00581027" w:rsidRPr="008A4A02" w:rsidRDefault="008A4A02">
    <w:pPr>
      <w:pStyle w:val="Footer"/>
      <w:rPr>
        <w:b/>
        <w:bCs/>
        <w:color w:val="EE0000"/>
        <w:lang w:val="en-GB"/>
      </w:rPr>
    </w:pPr>
    <w:r w:rsidRPr="008A4A02">
      <w:rPr>
        <w:b/>
        <w:bCs/>
        <w:color w:val="EE0000"/>
        <w:lang w:val="en-GB"/>
      </w:rPr>
      <w:t>Co-Chairs: Rev Leonora Wassell, Olive Ruzvidzo</w:t>
    </w:r>
    <w:r w:rsidRPr="008A4A02">
      <w:rPr>
        <w:b/>
        <w:bCs/>
        <w:color w:val="EE0000"/>
        <w:lang w:val="en-GB"/>
      </w:rPr>
      <w:tab/>
    </w:r>
    <w:r w:rsidRPr="008A4A02">
      <w:rPr>
        <w:b/>
        <w:bCs/>
        <w:color w:val="EE0000"/>
        <w:lang w:val="en-GB"/>
      </w:rPr>
      <w:tab/>
      <w:t xml:space="preserve">Charity Number: </w:t>
    </w:r>
    <w:r w:rsidRPr="008A4A02">
      <w:rPr>
        <w:b/>
        <w:bCs/>
        <w:color w:val="EE0000"/>
      </w:rPr>
      <w:t>1156626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12F7" w14:textId="77777777" w:rsidR="00900F45" w:rsidRDefault="00900F45" w:rsidP="00555D3B">
      <w:pPr>
        <w:spacing w:before="0" w:after="0" w:line="240" w:lineRule="auto"/>
      </w:pPr>
      <w:r>
        <w:separator/>
      </w:r>
    </w:p>
  </w:footnote>
  <w:footnote w:type="continuationSeparator" w:id="0">
    <w:p w14:paraId="4502E1C7" w14:textId="77777777" w:rsidR="00900F45" w:rsidRDefault="00900F45" w:rsidP="00555D3B">
      <w:pPr>
        <w:spacing w:before="0" w:after="0" w:line="240" w:lineRule="auto"/>
      </w:pPr>
      <w:r>
        <w:continuationSeparator/>
      </w:r>
    </w:p>
  </w:footnote>
  <w:footnote w:type="continuationNotice" w:id="1">
    <w:p w14:paraId="7F5A196C" w14:textId="77777777" w:rsidR="00900F45" w:rsidRDefault="00900F4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508" w14:textId="177BB29C" w:rsidR="008A4A02" w:rsidRDefault="008A4A02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F7FC410" wp14:editId="63919F42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2012950" cy="861060"/>
          <wp:effectExtent l="0" t="0" r="6350" b="2540"/>
          <wp:wrapSquare wrapText="bothSides"/>
          <wp:docPr id="74921899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18999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295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A1636"/>
    <w:multiLevelType w:val="multilevel"/>
    <w:tmpl w:val="AA2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D5A4D"/>
    <w:multiLevelType w:val="multilevel"/>
    <w:tmpl w:val="051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730901"/>
    <w:multiLevelType w:val="hybridMultilevel"/>
    <w:tmpl w:val="35CAD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7645B3"/>
    <w:multiLevelType w:val="multilevel"/>
    <w:tmpl w:val="6F9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C32F6"/>
    <w:multiLevelType w:val="multilevel"/>
    <w:tmpl w:val="7CC2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23AEA"/>
    <w:multiLevelType w:val="multilevel"/>
    <w:tmpl w:val="BAD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0FB6BA3"/>
    <w:multiLevelType w:val="multilevel"/>
    <w:tmpl w:val="3F40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4230D"/>
    <w:multiLevelType w:val="multilevel"/>
    <w:tmpl w:val="B30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D00DDC"/>
    <w:multiLevelType w:val="multilevel"/>
    <w:tmpl w:val="ABC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BA5E42"/>
    <w:multiLevelType w:val="multilevel"/>
    <w:tmpl w:val="993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093B5A"/>
    <w:multiLevelType w:val="multilevel"/>
    <w:tmpl w:val="50F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F4871"/>
    <w:multiLevelType w:val="multilevel"/>
    <w:tmpl w:val="D15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D02B3C"/>
    <w:multiLevelType w:val="multilevel"/>
    <w:tmpl w:val="C31C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A65C80"/>
    <w:multiLevelType w:val="multilevel"/>
    <w:tmpl w:val="ADF6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9E7BF5"/>
    <w:multiLevelType w:val="multilevel"/>
    <w:tmpl w:val="51BE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1202D"/>
    <w:multiLevelType w:val="multilevel"/>
    <w:tmpl w:val="1CD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611A8E"/>
    <w:multiLevelType w:val="multilevel"/>
    <w:tmpl w:val="F81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C804B3"/>
    <w:multiLevelType w:val="multilevel"/>
    <w:tmpl w:val="061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7F63A6"/>
    <w:multiLevelType w:val="multilevel"/>
    <w:tmpl w:val="6A3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820AF2"/>
    <w:multiLevelType w:val="multilevel"/>
    <w:tmpl w:val="4FD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144155"/>
    <w:multiLevelType w:val="multilevel"/>
    <w:tmpl w:val="4602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36AD5"/>
    <w:multiLevelType w:val="multilevel"/>
    <w:tmpl w:val="74DE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968B1"/>
    <w:multiLevelType w:val="multilevel"/>
    <w:tmpl w:val="51C0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7A35C8"/>
    <w:multiLevelType w:val="multilevel"/>
    <w:tmpl w:val="140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E6B1E"/>
    <w:multiLevelType w:val="multilevel"/>
    <w:tmpl w:val="76B0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BB5672"/>
    <w:multiLevelType w:val="multilevel"/>
    <w:tmpl w:val="417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414441"/>
    <w:multiLevelType w:val="multilevel"/>
    <w:tmpl w:val="86BE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00284">
    <w:abstractNumId w:val="8"/>
  </w:num>
  <w:num w:numId="2" w16cid:durableId="2124424366">
    <w:abstractNumId w:val="3"/>
  </w:num>
  <w:num w:numId="3" w16cid:durableId="487594180">
    <w:abstractNumId w:val="2"/>
  </w:num>
  <w:num w:numId="4" w16cid:durableId="1618482300">
    <w:abstractNumId w:val="1"/>
  </w:num>
  <w:num w:numId="5" w16cid:durableId="228081060">
    <w:abstractNumId w:val="0"/>
  </w:num>
  <w:num w:numId="6" w16cid:durableId="1495222736">
    <w:abstractNumId w:val="9"/>
  </w:num>
  <w:num w:numId="7" w16cid:durableId="1711953620">
    <w:abstractNumId w:val="7"/>
  </w:num>
  <w:num w:numId="8" w16cid:durableId="1942911855">
    <w:abstractNumId w:val="6"/>
  </w:num>
  <w:num w:numId="9" w16cid:durableId="1074351283">
    <w:abstractNumId w:val="5"/>
  </w:num>
  <w:num w:numId="10" w16cid:durableId="256640853">
    <w:abstractNumId w:val="4"/>
  </w:num>
  <w:num w:numId="11" w16cid:durableId="1455247265">
    <w:abstractNumId w:val="28"/>
  </w:num>
  <w:num w:numId="12" w16cid:durableId="10452408">
    <w:abstractNumId w:val="21"/>
  </w:num>
  <w:num w:numId="13" w16cid:durableId="149250801">
    <w:abstractNumId w:val="16"/>
  </w:num>
  <w:num w:numId="14" w16cid:durableId="177350176">
    <w:abstractNumId w:val="10"/>
  </w:num>
  <w:num w:numId="15" w16cid:durableId="1349793819">
    <w:abstractNumId w:val="29"/>
  </w:num>
  <w:num w:numId="16" w16cid:durableId="937057016">
    <w:abstractNumId w:val="23"/>
  </w:num>
  <w:num w:numId="17" w16cid:durableId="1231189255">
    <w:abstractNumId w:val="13"/>
  </w:num>
  <w:num w:numId="18" w16cid:durableId="301497262">
    <w:abstractNumId w:val="30"/>
  </w:num>
  <w:num w:numId="19" w16cid:durableId="1609847806">
    <w:abstractNumId w:val="20"/>
  </w:num>
  <w:num w:numId="20" w16cid:durableId="1903562949">
    <w:abstractNumId w:val="27"/>
  </w:num>
  <w:num w:numId="21" w16cid:durableId="1160346963">
    <w:abstractNumId w:val="22"/>
  </w:num>
  <w:num w:numId="22" w16cid:durableId="2089421169">
    <w:abstractNumId w:val="11"/>
  </w:num>
  <w:num w:numId="23" w16cid:durableId="392430099">
    <w:abstractNumId w:val="33"/>
  </w:num>
  <w:num w:numId="24" w16cid:durableId="291667684">
    <w:abstractNumId w:val="31"/>
  </w:num>
  <w:num w:numId="25" w16cid:durableId="1280405902">
    <w:abstractNumId w:val="24"/>
  </w:num>
  <w:num w:numId="26" w16cid:durableId="1632662584">
    <w:abstractNumId w:val="18"/>
  </w:num>
  <w:num w:numId="27" w16cid:durableId="1344088165">
    <w:abstractNumId w:val="34"/>
  </w:num>
  <w:num w:numId="28" w16cid:durableId="679743202">
    <w:abstractNumId w:val="37"/>
  </w:num>
  <w:num w:numId="29" w16cid:durableId="921645432">
    <w:abstractNumId w:val="19"/>
  </w:num>
  <w:num w:numId="30" w16cid:durableId="222521721">
    <w:abstractNumId w:val="38"/>
  </w:num>
  <w:num w:numId="31" w16cid:durableId="1396512734">
    <w:abstractNumId w:val="17"/>
  </w:num>
  <w:num w:numId="32" w16cid:durableId="2052457600">
    <w:abstractNumId w:val="36"/>
  </w:num>
  <w:num w:numId="33" w16cid:durableId="292559643">
    <w:abstractNumId w:val="26"/>
  </w:num>
  <w:num w:numId="34" w16cid:durableId="1653365855">
    <w:abstractNumId w:val="32"/>
  </w:num>
  <w:num w:numId="35" w16cid:durableId="1707484301">
    <w:abstractNumId w:val="35"/>
  </w:num>
  <w:num w:numId="36" w16cid:durableId="1812862153">
    <w:abstractNumId w:val="39"/>
  </w:num>
  <w:num w:numId="37" w16cid:durableId="74398962">
    <w:abstractNumId w:val="14"/>
  </w:num>
  <w:num w:numId="38" w16cid:durableId="275453336">
    <w:abstractNumId w:val="25"/>
  </w:num>
  <w:num w:numId="39" w16cid:durableId="1008019224">
    <w:abstractNumId w:val="15"/>
  </w:num>
  <w:num w:numId="40" w16cid:durableId="244925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C"/>
    <w:rsid w:val="0000606E"/>
    <w:rsid w:val="00007165"/>
    <w:rsid w:val="00013773"/>
    <w:rsid w:val="00014090"/>
    <w:rsid w:val="00014D7E"/>
    <w:rsid w:val="00015355"/>
    <w:rsid w:val="00020F8B"/>
    <w:rsid w:val="00022FE0"/>
    <w:rsid w:val="00025FAF"/>
    <w:rsid w:val="0002627C"/>
    <w:rsid w:val="000302B3"/>
    <w:rsid w:val="000315C2"/>
    <w:rsid w:val="00032B1F"/>
    <w:rsid w:val="00043837"/>
    <w:rsid w:val="00061B97"/>
    <w:rsid w:val="00071F97"/>
    <w:rsid w:val="0009118C"/>
    <w:rsid w:val="0009390C"/>
    <w:rsid w:val="000A163C"/>
    <w:rsid w:val="000A3561"/>
    <w:rsid w:val="000A3E6C"/>
    <w:rsid w:val="000A5852"/>
    <w:rsid w:val="000B3D21"/>
    <w:rsid w:val="000B7774"/>
    <w:rsid w:val="000C1F28"/>
    <w:rsid w:val="000C3A4B"/>
    <w:rsid w:val="000C4D30"/>
    <w:rsid w:val="000C7161"/>
    <w:rsid w:val="000D6954"/>
    <w:rsid w:val="000E44BE"/>
    <w:rsid w:val="000E49DD"/>
    <w:rsid w:val="00100CB1"/>
    <w:rsid w:val="00105CF4"/>
    <w:rsid w:val="00110EE9"/>
    <w:rsid w:val="00111B09"/>
    <w:rsid w:val="00114D85"/>
    <w:rsid w:val="00115E66"/>
    <w:rsid w:val="00116DC5"/>
    <w:rsid w:val="00122338"/>
    <w:rsid w:val="00127243"/>
    <w:rsid w:val="00127E66"/>
    <w:rsid w:val="00134260"/>
    <w:rsid w:val="00134CBC"/>
    <w:rsid w:val="001370EC"/>
    <w:rsid w:val="00146D2C"/>
    <w:rsid w:val="00160FAE"/>
    <w:rsid w:val="00182663"/>
    <w:rsid w:val="00182693"/>
    <w:rsid w:val="00183B5D"/>
    <w:rsid w:val="00183E55"/>
    <w:rsid w:val="00185127"/>
    <w:rsid w:val="00185CD0"/>
    <w:rsid w:val="001A16C4"/>
    <w:rsid w:val="001A2670"/>
    <w:rsid w:val="001B6C62"/>
    <w:rsid w:val="001C4D12"/>
    <w:rsid w:val="001D4CDB"/>
    <w:rsid w:val="001D72E4"/>
    <w:rsid w:val="001E267D"/>
    <w:rsid w:val="001E3A7C"/>
    <w:rsid w:val="001F2CBA"/>
    <w:rsid w:val="001F4F37"/>
    <w:rsid w:val="00202643"/>
    <w:rsid w:val="0020681B"/>
    <w:rsid w:val="00215FB1"/>
    <w:rsid w:val="002214D8"/>
    <w:rsid w:val="00224BFF"/>
    <w:rsid w:val="00241429"/>
    <w:rsid w:val="00254497"/>
    <w:rsid w:val="00264F50"/>
    <w:rsid w:val="00273710"/>
    <w:rsid w:val="002770CD"/>
    <w:rsid w:val="00280720"/>
    <w:rsid w:val="00283DD5"/>
    <w:rsid w:val="00286F03"/>
    <w:rsid w:val="00290B88"/>
    <w:rsid w:val="00294360"/>
    <w:rsid w:val="002B4787"/>
    <w:rsid w:val="002B5415"/>
    <w:rsid w:val="002C26CE"/>
    <w:rsid w:val="002E055D"/>
    <w:rsid w:val="002F3CAB"/>
    <w:rsid w:val="002F6557"/>
    <w:rsid w:val="00306CEA"/>
    <w:rsid w:val="00311DE5"/>
    <w:rsid w:val="00315F13"/>
    <w:rsid w:val="003327E8"/>
    <w:rsid w:val="00332BBC"/>
    <w:rsid w:val="00340E01"/>
    <w:rsid w:val="00340F97"/>
    <w:rsid w:val="003441E3"/>
    <w:rsid w:val="00360077"/>
    <w:rsid w:val="0036638A"/>
    <w:rsid w:val="003706FD"/>
    <w:rsid w:val="00372ABF"/>
    <w:rsid w:val="003A34B5"/>
    <w:rsid w:val="003A3BB6"/>
    <w:rsid w:val="003B3A1D"/>
    <w:rsid w:val="003C7A31"/>
    <w:rsid w:val="003D363D"/>
    <w:rsid w:val="003D72DD"/>
    <w:rsid w:val="003E29CC"/>
    <w:rsid w:val="00412267"/>
    <w:rsid w:val="0042689F"/>
    <w:rsid w:val="00427B7B"/>
    <w:rsid w:val="00432210"/>
    <w:rsid w:val="00432638"/>
    <w:rsid w:val="00436656"/>
    <w:rsid w:val="00436815"/>
    <w:rsid w:val="00447D5A"/>
    <w:rsid w:val="00457DE5"/>
    <w:rsid w:val="00462556"/>
    <w:rsid w:val="00482911"/>
    <w:rsid w:val="00484805"/>
    <w:rsid w:val="00487A29"/>
    <w:rsid w:val="004910DB"/>
    <w:rsid w:val="004917CD"/>
    <w:rsid w:val="00493056"/>
    <w:rsid w:val="0049324B"/>
    <w:rsid w:val="004A51EA"/>
    <w:rsid w:val="004B0BD6"/>
    <w:rsid w:val="004B126A"/>
    <w:rsid w:val="004B6C39"/>
    <w:rsid w:val="004C2F5C"/>
    <w:rsid w:val="004C7B3A"/>
    <w:rsid w:val="004E170D"/>
    <w:rsid w:val="004F323F"/>
    <w:rsid w:val="004F5280"/>
    <w:rsid w:val="004F54EC"/>
    <w:rsid w:val="00505C30"/>
    <w:rsid w:val="00514D2D"/>
    <w:rsid w:val="00521AC8"/>
    <w:rsid w:val="005336F8"/>
    <w:rsid w:val="005404FC"/>
    <w:rsid w:val="00540791"/>
    <w:rsid w:val="00541C40"/>
    <w:rsid w:val="00555D3B"/>
    <w:rsid w:val="0055792C"/>
    <w:rsid w:val="005630E9"/>
    <w:rsid w:val="00563DC8"/>
    <w:rsid w:val="00564AFE"/>
    <w:rsid w:val="0057448D"/>
    <w:rsid w:val="00581027"/>
    <w:rsid w:val="00582EFE"/>
    <w:rsid w:val="00586C31"/>
    <w:rsid w:val="005A24ED"/>
    <w:rsid w:val="005A5FA8"/>
    <w:rsid w:val="005D1E2B"/>
    <w:rsid w:val="005D45CD"/>
    <w:rsid w:val="005D4E4B"/>
    <w:rsid w:val="005E0AFC"/>
    <w:rsid w:val="005E0D46"/>
    <w:rsid w:val="005E3D35"/>
    <w:rsid w:val="005F33F9"/>
    <w:rsid w:val="006006C3"/>
    <w:rsid w:val="0060220F"/>
    <w:rsid w:val="00613432"/>
    <w:rsid w:val="00614029"/>
    <w:rsid w:val="00614D23"/>
    <w:rsid w:val="00620332"/>
    <w:rsid w:val="00624924"/>
    <w:rsid w:val="00625A37"/>
    <w:rsid w:val="006431CB"/>
    <w:rsid w:val="00644511"/>
    <w:rsid w:val="006520A4"/>
    <w:rsid w:val="00652329"/>
    <w:rsid w:val="0065725D"/>
    <w:rsid w:val="00660409"/>
    <w:rsid w:val="006614AD"/>
    <w:rsid w:val="00662A26"/>
    <w:rsid w:val="00681A55"/>
    <w:rsid w:val="00681ED6"/>
    <w:rsid w:val="00683F50"/>
    <w:rsid w:val="006B0DE3"/>
    <w:rsid w:val="006B2021"/>
    <w:rsid w:val="006B390F"/>
    <w:rsid w:val="006B4EC3"/>
    <w:rsid w:val="006C1134"/>
    <w:rsid w:val="006C3459"/>
    <w:rsid w:val="006C5EFD"/>
    <w:rsid w:val="006C69E4"/>
    <w:rsid w:val="006D61FB"/>
    <w:rsid w:val="006E4FF6"/>
    <w:rsid w:val="006F1179"/>
    <w:rsid w:val="00700B87"/>
    <w:rsid w:val="00700CB1"/>
    <w:rsid w:val="00705257"/>
    <w:rsid w:val="007064A8"/>
    <w:rsid w:val="00717393"/>
    <w:rsid w:val="0072526E"/>
    <w:rsid w:val="0073110F"/>
    <w:rsid w:val="007361C8"/>
    <w:rsid w:val="00742258"/>
    <w:rsid w:val="00754244"/>
    <w:rsid w:val="00764519"/>
    <w:rsid w:val="00764AD1"/>
    <w:rsid w:val="007658A6"/>
    <w:rsid w:val="00770C78"/>
    <w:rsid w:val="00772AC3"/>
    <w:rsid w:val="00774619"/>
    <w:rsid w:val="007748DE"/>
    <w:rsid w:val="007A6E8B"/>
    <w:rsid w:val="007B539C"/>
    <w:rsid w:val="007B66FB"/>
    <w:rsid w:val="007C15CF"/>
    <w:rsid w:val="007C4DC4"/>
    <w:rsid w:val="007C645B"/>
    <w:rsid w:val="007C7B3F"/>
    <w:rsid w:val="007D1FC0"/>
    <w:rsid w:val="007D3518"/>
    <w:rsid w:val="007F17A4"/>
    <w:rsid w:val="007F6338"/>
    <w:rsid w:val="00801A3C"/>
    <w:rsid w:val="00803A55"/>
    <w:rsid w:val="00811DC7"/>
    <w:rsid w:val="00816880"/>
    <w:rsid w:val="00821B73"/>
    <w:rsid w:val="00821BC9"/>
    <w:rsid w:val="00825A2B"/>
    <w:rsid w:val="00831EE9"/>
    <w:rsid w:val="00866E7E"/>
    <w:rsid w:val="00874AEB"/>
    <w:rsid w:val="00897BE9"/>
    <w:rsid w:val="008A1B5C"/>
    <w:rsid w:val="008A4A02"/>
    <w:rsid w:val="008B175A"/>
    <w:rsid w:val="008B3499"/>
    <w:rsid w:val="008C0CEB"/>
    <w:rsid w:val="008C11BB"/>
    <w:rsid w:val="008D1FE1"/>
    <w:rsid w:val="008D248C"/>
    <w:rsid w:val="008D662B"/>
    <w:rsid w:val="008D79A1"/>
    <w:rsid w:val="008E078F"/>
    <w:rsid w:val="008F420A"/>
    <w:rsid w:val="00900F45"/>
    <w:rsid w:val="00904453"/>
    <w:rsid w:val="0091004F"/>
    <w:rsid w:val="00916ACA"/>
    <w:rsid w:val="00925F0B"/>
    <w:rsid w:val="00932A53"/>
    <w:rsid w:val="0094659F"/>
    <w:rsid w:val="0096085C"/>
    <w:rsid w:val="009627F3"/>
    <w:rsid w:val="0096411B"/>
    <w:rsid w:val="00975F13"/>
    <w:rsid w:val="00984AAB"/>
    <w:rsid w:val="009928FA"/>
    <w:rsid w:val="009C6D71"/>
    <w:rsid w:val="009D01D8"/>
    <w:rsid w:val="009D39BB"/>
    <w:rsid w:val="009D6120"/>
    <w:rsid w:val="009E3F58"/>
    <w:rsid w:val="009F026A"/>
    <w:rsid w:val="009F15D7"/>
    <w:rsid w:val="009F751F"/>
    <w:rsid w:val="00A10CAE"/>
    <w:rsid w:val="00A205DE"/>
    <w:rsid w:val="00A2601D"/>
    <w:rsid w:val="00A27F90"/>
    <w:rsid w:val="00A3057E"/>
    <w:rsid w:val="00A3672A"/>
    <w:rsid w:val="00A43746"/>
    <w:rsid w:val="00A4516E"/>
    <w:rsid w:val="00A55C29"/>
    <w:rsid w:val="00A63BE8"/>
    <w:rsid w:val="00A6537A"/>
    <w:rsid w:val="00A657BE"/>
    <w:rsid w:val="00A7016A"/>
    <w:rsid w:val="00A7406E"/>
    <w:rsid w:val="00A766C9"/>
    <w:rsid w:val="00A85D15"/>
    <w:rsid w:val="00A947A7"/>
    <w:rsid w:val="00AA1380"/>
    <w:rsid w:val="00AA2585"/>
    <w:rsid w:val="00AB13ED"/>
    <w:rsid w:val="00AC1A7B"/>
    <w:rsid w:val="00AD065A"/>
    <w:rsid w:val="00AD6A75"/>
    <w:rsid w:val="00AE31A7"/>
    <w:rsid w:val="00AF6E79"/>
    <w:rsid w:val="00B1229F"/>
    <w:rsid w:val="00B13C01"/>
    <w:rsid w:val="00B13EAF"/>
    <w:rsid w:val="00B13F6E"/>
    <w:rsid w:val="00B21E37"/>
    <w:rsid w:val="00B32C8E"/>
    <w:rsid w:val="00B4101F"/>
    <w:rsid w:val="00B46BA6"/>
    <w:rsid w:val="00B52BCC"/>
    <w:rsid w:val="00B62AA5"/>
    <w:rsid w:val="00B7101A"/>
    <w:rsid w:val="00B7244C"/>
    <w:rsid w:val="00B863E1"/>
    <w:rsid w:val="00B90D96"/>
    <w:rsid w:val="00B91D4A"/>
    <w:rsid w:val="00B9392D"/>
    <w:rsid w:val="00BC0987"/>
    <w:rsid w:val="00BD337C"/>
    <w:rsid w:val="00BE43C0"/>
    <w:rsid w:val="00BF27C6"/>
    <w:rsid w:val="00C01C4C"/>
    <w:rsid w:val="00C041DB"/>
    <w:rsid w:val="00C04E95"/>
    <w:rsid w:val="00C37F7F"/>
    <w:rsid w:val="00C40195"/>
    <w:rsid w:val="00C42516"/>
    <w:rsid w:val="00C5316D"/>
    <w:rsid w:val="00C57EA3"/>
    <w:rsid w:val="00C656BA"/>
    <w:rsid w:val="00C67463"/>
    <w:rsid w:val="00C834AA"/>
    <w:rsid w:val="00C92481"/>
    <w:rsid w:val="00C95537"/>
    <w:rsid w:val="00CA2657"/>
    <w:rsid w:val="00CA27E4"/>
    <w:rsid w:val="00CA68BF"/>
    <w:rsid w:val="00CB7ACE"/>
    <w:rsid w:val="00CC2CC8"/>
    <w:rsid w:val="00CC6963"/>
    <w:rsid w:val="00CD25D9"/>
    <w:rsid w:val="00CD440E"/>
    <w:rsid w:val="00CE436E"/>
    <w:rsid w:val="00CE6D3B"/>
    <w:rsid w:val="00D02884"/>
    <w:rsid w:val="00D03DF1"/>
    <w:rsid w:val="00D137AD"/>
    <w:rsid w:val="00D1386C"/>
    <w:rsid w:val="00D22125"/>
    <w:rsid w:val="00D2301D"/>
    <w:rsid w:val="00D25A01"/>
    <w:rsid w:val="00D268A5"/>
    <w:rsid w:val="00D274EE"/>
    <w:rsid w:val="00D33338"/>
    <w:rsid w:val="00D36E3F"/>
    <w:rsid w:val="00D40719"/>
    <w:rsid w:val="00D41F3C"/>
    <w:rsid w:val="00D44893"/>
    <w:rsid w:val="00D46794"/>
    <w:rsid w:val="00D520F8"/>
    <w:rsid w:val="00D54597"/>
    <w:rsid w:val="00D60999"/>
    <w:rsid w:val="00D60FF5"/>
    <w:rsid w:val="00D62903"/>
    <w:rsid w:val="00D70AB4"/>
    <w:rsid w:val="00D7253B"/>
    <w:rsid w:val="00D737EE"/>
    <w:rsid w:val="00D84BE0"/>
    <w:rsid w:val="00D868B9"/>
    <w:rsid w:val="00D8793C"/>
    <w:rsid w:val="00D91526"/>
    <w:rsid w:val="00D951DC"/>
    <w:rsid w:val="00D97879"/>
    <w:rsid w:val="00D9797B"/>
    <w:rsid w:val="00DA19E0"/>
    <w:rsid w:val="00DA1D7D"/>
    <w:rsid w:val="00DA21D2"/>
    <w:rsid w:val="00DB0905"/>
    <w:rsid w:val="00DC1A57"/>
    <w:rsid w:val="00DC5DC3"/>
    <w:rsid w:val="00DD0037"/>
    <w:rsid w:val="00DD1653"/>
    <w:rsid w:val="00DF1E72"/>
    <w:rsid w:val="00DF4A0D"/>
    <w:rsid w:val="00E07491"/>
    <w:rsid w:val="00E1060E"/>
    <w:rsid w:val="00E14037"/>
    <w:rsid w:val="00E301D1"/>
    <w:rsid w:val="00E3045C"/>
    <w:rsid w:val="00E3387E"/>
    <w:rsid w:val="00E34860"/>
    <w:rsid w:val="00E369A5"/>
    <w:rsid w:val="00E53445"/>
    <w:rsid w:val="00E65723"/>
    <w:rsid w:val="00E66F64"/>
    <w:rsid w:val="00E7243F"/>
    <w:rsid w:val="00E73D3F"/>
    <w:rsid w:val="00E832AA"/>
    <w:rsid w:val="00E871F6"/>
    <w:rsid w:val="00E92149"/>
    <w:rsid w:val="00EA36F3"/>
    <w:rsid w:val="00EC740E"/>
    <w:rsid w:val="00ED67FC"/>
    <w:rsid w:val="00EE25C5"/>
    <w:rsid w:val="00EE6799"/>
    <w:rsid w:val="00EF21C7"/>
    <w:rsid w:val="00F0226D"/>
    <w:rsid w:val="00F03016"/>
    <w:rsid w:val="00F266A6"/>
    <w:rsid w:val="00F31102"/>
    <w:rsid w:val="00F31CD1"/>
    <w:rsid w:val="00F35D30"/>
    <w:rsid w:val="00F41B30"/>
    <w:rsid w:val="00F5005F"/>
    <w:rsid w:val="00F517F6"/>
    <w:rsid w:val="00F546E9"/>
    <w:rsid w:val="00F5504C"/>
    <w:rsid w:val="00F65D44"/>
    <w:rsid w:val="00F736BA"/>
    <w:rsid w:val="00F7715B"/>
    <w:rsid w:val="00F771B7"/>
    <w:rsid w:val="00F80AF0"/>
    <w:rsid w:val="00F81B11"/>
    <w:rsid w:val="00F862B1"/>
    <w:rsid w:val="00F923B4"/>
    <w:rsid w:val="00F94C31"/>
    <w:rsid w:val="00F9543C"/>
    <w:rsid w:val="00F970C0"/>
    <w:rsid w:val="00FA4269"/>
    <w:rsid w:val="00FA75C7"/>
    <w:rsid w:val="00FA7600"/>
    <w:rsid w:val="00FB098A"/>
    <w:rsid w:val="00FB276C"/>
    <w:rsid w:val="00FE63BD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69170"/>
  <w15:docId w15:val="{16F4FDA6-0CEE-1B42-8C46-D7F67C7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  <w:style w:type="character" w:customStyle="1" w:styleId="s2">
    <w:name w:val="s2"/>
    <w:basedOn w:val="DefaultParagraphFont"/>
    <w:rsid w:val="00CB7ACE"/>
  </w:style>
  <w:style w:type="character" w:customStyle="1" w:styleId="apple-converted-space">
    <w:name w:val="apple-converted-space"/>
    <w:basedOn w:val="DefaultParagraphFont"/>
    <w:rsid w:val="00CB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Wassell</dc:creator>
  <cp:keywords/>
  <cp:lastModifiedBy>Bronwen Braisdell</cp:lastModifiedBy>
  <cp:revision>5</cp:revision>
  <cp:lastPrinted>2025-01-09T13:03:00Z</cp:lastPrinted>
  <dcterms:created xsi:type="dcterms:W3CDTF">2026-04-28T14:17:00Z</dcterms:created>
  <dcterms:modified xsi:type="dcterms:W3CDTF">2026-05-07T09:04:00Z</dcterms:modified>
</cp:coreProperties>
</file>